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中国政法大学MBA管理案例精英赛校园突围赛</w:t>
      </w:r>
    </w:p>
    <w:p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ascii="微软雅黑" w:hAnsi="微软雅黑" w:eastAsia="微软雅黑"/>
          <w:b/>
          <w:sz w:val="28"/>
          <w:szCs w:val="28"/>
        </w:rPr>
        <w:t>比赛规则及评分表</w:t>
      </w:r>
    </w:p>
    <w:p>
      <w:pPr>
        <w:spacing w:after="156" w:afterLines="50" w:line="288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    一、</w:t>
      </w:r>
      <w:r>
        <w:rPr>
          <w:rFonts w:ascii="宋体" w:hAnsi="宋体" w:eastAsia="宋体"/>
          <w:b/>
          <w:sz w:val="24"/>
          <w:szCs w:val="24"/>
        </w:rPr>
        <w:t xml:space="preserve">比赛规则 </w:t>
      </w:r>
    </w:p>
    <w:p>
      <w:pPr>
        <w:spacing w:after="156" w:afterLines="50" w:line="288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ascii="宋体" w:hAnsi="宋体" w:eastAsia="宋体"/>
          <w:sz w:val="24"/>
          <w:szCs w:val="24"/>
        </w:rPr>
        <w:t>比赛采用大小PK制每次上台两支队伍，比赛所有流程按主持人提示进行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 xml:space="preserve">超时扣分。 </w:t>
      </w:r>
    </w:p>
    <w:p>
      <w:pPr>
        <w:spacing w:after="156" w:afterLines="50" w:line="288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1、</w:t>
      </w:r>
      <w:r>
        <w:rPr>
          <w:rFonts w:ascii="宋体" w:hAnsi="宋体" w:eastAsia="宋体"/>
          <w:sz w:val="24"/>
          <w:szCs w:val="24"/>
        </w:rPr>
        <w:t>第一环节：小PK（30分钟）程序如下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after="156" w:afterLines="50" w:line="288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（1）</w:t>
      </w:r>
      <w:r>
        <w:rPr>
          <w:rFonts w:ascii="宋体" w:hAnsi="宋体" w:eastAsia="宋体"/>
          <w:sz w:val="24"/>
          <w:szCs w:val="24"/>
        </w:rPr>
        <w:t>甲乙两队上场，甲队陈述，乙队针对甲队陈述提问；乙队陈述，甲队针对乙队陈述提问。</w:t>
      </w:r>
    </w:p>
    <w:p>
      <w:pPr>
        <w:spacing w:after="156" w:afterLines="50" w:line="288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（2）</w:t>
      </w:r>
      <w:r>
        <w:rPr>
          <w:rFonts w:ascii="宋体" w:hAnsi="宋体" w:eastAsia="宋体"/>
          <w:sz w:val="24"/>
          <w:szCs w:val="24"/>
        </w:rPr>
        <w:t>台上4人均需陈述，第四位陈述者要有总结性发言。陈述时间为10分钟，问答环节为5分钟，每次提问只能提一个问题且不得超过30秒。每次问答时间共2分钟。问答双方请起立。</w:t>
      </w:r>
    </w:p>
    <w:p>
      <w:pPr>
        <w:spacing w:after="156" w:afterLines="50" w:line="288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（3）</w:t>
      </w:r>
      <w:r>
        <w:rPr>
          <w:rFonts w:ascii="宋体" w:hAnsi="宋体" w:eastAsia="宋体"/>
          <w:sz w:val="24"/>
          <w:szCs w:val="24"/>
        </w:rPr>
        <w:t xml:space="preserve">台上提问者可指定对方某位队员回答，被指定队员回答完毕后，其他台上或台下队员方可补充，如有两名及以上者举手补充，由主持人指定补充回答队员。不能连续提问某位指定队员。 </w:t>
      </w:r>
    </w:p>
    <w:p>
      <w:pPr>
        <w:spacing w:after="156" w:afterLines="50" w:line="288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2、</w:t>
      </w:r>
      <w:r>
        <w:rPr>
          <w:rFonts w:ascii="宋体" w:hAnsi="宋体" w:eastAsia="宋体"/>
          <w:sz w:val="24"/>
          <w:szCs w:val="24"/>
        </w:rPr>
        <w:t>第二环节：大PK（20分钟）程序如下：</w:t>
      </w:r>
    </w:p>
    <w:p>
      <w:pPr>
        <w:spacing w:after="156" w:afterLines="50" w:line="288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（1）</w:t>
      </w:r>
      <w:r>
        <w:rPr>
          <w:rFonts w:ascii="宋体" w:hAnsi="宋体" w:eastAsia="宋体"/>
          <w:sz w:val="24"/>
          <w:szCs w:val="24"/>
        </w:rPr>
        <w:t>台下队伍、观众向台上两支队伍提问（8分钟），每次提问不得超过30秒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after="156" w:afterLines="50" w:line="288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 xml:space="preserve">台下每支队伍每次只能针对台上的一支队伍提一个问题，如果追问算第二次提问。台下队伍或观众可指定台上某位队员回答，被指定队员回答完毕后，其他台上或台下队员方可补充。不能连续提问某位指定队员，不能连续提问同一支队伍，不准向本校队伍提问。台下观众每次只能提一个问题，每次问答时间共2分钟，观众提问不计分。问答双方请起立。如果台下队伍没有问题，主持人可以提前结束台下队伍提问环节。 </w:t>
      </w:r>
    </w:p>
    <w:p>
      <w:pPr>
        <w:spacing w:after="156" w:afterLines="50" w:line="288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 xml:space="preserve">台下评委向台上队伍提问（12分钟）。评委提问不限时间，但请尽可能简短。问答共12分钟。台上队伍回答请起立，每次回答时间不得超过2分钟。如果评委没有问题，主持人可以取消或提前结束评委提问环节。 </w:t>
      </w:r>
    </w:p>
    <w:p>
      <w:pPr>
        <w:spacing w:after="156" w:afterLines="50" w:line="288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3、</w:t>
      </w:r>
      <w:r>
        <w:rPr>
          <w:rFonts w:ascii="宋体" w:hAnsi="宋体" w:eastAsia="宋体"/>
          <w:sz w:val="24"/>
          <w:szCs w:val="24"/>
        </w:rPr>
        <w:t>补充说明：</w:t>
      </w:r>
    </w:p>
    <w:p>
      <w:pPr>
        <w:spacing w:after="156" w:afterLines="50" w:line="288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</w:t>
      </w:r>
      <w:r>
        <w:rPr>
          <w:rFonts w:ascii="宋体" w:hAnsi="宋体" w:eastAsia="宋体"/>
          <w:sz w:val="24"/>
          <w:szCs w:val="24"/>
        </w:rPr>
        <w:t>赛前盲审及现场竞赛阶段的打分都要去掉极值分数，即去掉一个最高分一个最低分。</w:t>
      </w:r>
    </w:p>
    <w:p>
      <w:pPr>
        <w:spacing w:after="156" w:afterLines="50" w:line="288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</w:t>
      </w:r>
      <w:r>
        <w:rPr>
          <w:rFonts w:ascii="宋体" w:hAnsi="宋体" w:eastAsia="宋体"/>
          <w:sz w:val="24"/>
          <w:szCs w:val="24"/>
        </w:rPr>
        <w:t>案例大赛分为赛前盲审和现场竞赛两个环节，每支参赛队伍的分数为两个环节得分的加总。</w:t>
      </w:r>
    </w:p>
    <w:p>
      <w:pPr>
        <w:spacing w:after="156" w:afterLines="50" w:line="288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其中，赛前盲审环节分值为40分，评分标准及要点参见盲审评分表；现场竞赛环节分值为60分，评分标准及要点参见现场评分表。参赛队伍于现场比赛前一晚提交案例PPT或案例分析报 告，逾期未交者取消比赛资格。 </w:t>
      </w:r>
    </w:p>
    <w:p>
      <w:pPr>
        <w:spacing w:after="156" w:afterLines="50" w:line="288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</w:t>
      </w:r>
      <w:r>
        <w:rPr>
          <w:rFonts w:ascii="宋体" w:hAnsi="宋体" w:eastAsia="宋体"/>
          <w:sz w:val="24"/>
          <w:szCs w:val="24"/>
        </w:rPr>
        <w:t>评委打分现场公开；每组大小PK结束后，由评委举牌公布打分情况。现场阶段比赛全部结束后，由评审团主席当着所有参赛队伍的面拆开密封条公布各队盲审得分，并进行加总。</w:t>
      </w:r>
    </w:p>
    <w:p>
      <w:pPr>
        <w:spacing w:after="156" w:afterLines="50" w:line="288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ascii="微软雅黑" w:hAnsi="微软雅黑" w:eastAsia="微软雅黑"/>
          <w:b/>
          <w:sz w:val="24"/>
          <w:szCs w:val="24"/>
        </w:rPr>
        <w:t>2.评分规则（表1和表2，共计100分）</w:t>
      </w:r>
    </w:p>
    <w:p>
      <w:pPr>
        <w:adjustRightInd w:val="0"/>
        <w:snapToGrid w:val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表1</w:t>
      </w:r>
      <w:r>
        <w:rPr>
          <w:rFonts w:hint="eastAsia" w:ascii="微软雅黑" w:hAnsi="微软雅黑" w:eastAsia="微软雅黑"/>
          <w:szCs w:val="21"/>
        </w:rPr>
        <w:t>：</w:t>
      </w:r>
      <w:r>
        <w:rPr>
          <w:rFonts w:hint="eastAsia" w:ascii="微软雅黑" w:hAnsi="微软雅黑" w:eastAsia="微软雅黑" w:cs="Calibri"/>
          <w:szCs w:val="21"/>
          <w:lang w:val="zh-TW" w:eastAsia="zh-TW"/>
        </w:rPr>
        <w:t>管理案例精英赛（</w:t>
      </w:r>
      <w:r>
        <w:rPr>
          <w:rFonts w:hint="eastAsia" w:ascii="微软雅黑" w:hAnsi="微软雅黑" w:eastAsia="微软雅黑" w:cs="Calibri"/>
          <w:szCs w:val="21"/>
        </w:rPr>
        <w:t>2019</w:t>
      </w:r>
      <w:r>
        <w:rPr>
          <w:rFonts w:hint="eastAsia" w:ascii="微软雅黑" w:hAnsi="微软雅黑" w:eastAsia="微软雅黑" w:cs="Calibri"/>
          <w:szCs w:val="21"/>
          <w:lang w:val="zh-TW" w:eastAsia="zh-TW"/>
        </w:rPr>
        <w:t>）</w:t>
      </w:r>
      <w:r>
        <w:rPr>
          <w:rFonts w:hint="eastAsia" w:ascii="微软雅黑" w:hAnsi="微软雅黑" w:eastAsia="微软雅黑" w:cs="宋体"/>
          <w:szCs w:val="21"/>
          <w:lang w:val="zh-TW"/>
        </w:rPr>
        <w:t>校园突围赛</w:t>
      </w:r>
      <w:r>
        <w:rPr>
          <w:rFonts w:hint="eastAsia" w:ascii="微软雅黑" w:hAnsi="微软雅黑" w:eastAsia="微软雅黑" w:cs="Calibri"/>
          <w:szCs w:val="21"/>
          <w:lang w:val="zh-TW" w:eastAsia="zh-TW"/>
        </w:rPr>
        <w:t>盲审阶段评分表（</w:t>
      </w:r>
      <w:r>
        <w:rPr>
          <w:rFonts w:hint="eastAsia" w:ascii="微软雅黑" w:hAnsi="微软雅黑" w:eastAsia="微软雅黑" w:cs="Calibri"/>
          <w:szCs w:val="21"/>
        </w:rPr>
        <w:t>40</w:t>
      </w:r>
      <w:r>
        <w:rPr>
          <w:rFonts w:hint="eastAsia" w:ascii="微软雅黑" w:hAnsi="微软雅黑" w:eastAsia="微软雅黑" w:cs="Calibri"/>
          <w:szCs w:val="21"/>
          <w:lang w:val="zh-TW" w:eastAsia="zh-TW"/>
        </w:rPr>
        <w:t>分）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678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评分项目</w:t>
            </w:r>
          </w:p>
        </w:tc>
        <w:tc>
          <w:tcPr>
            <w:tcW w:w="4678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参考评分标准</w:t>
            </w:r>
          </w:p>
        </w:tc>
        <w:tc>
          <w:tcPr>
            <w:tcW w:w="2205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得分（精确到小数后 一位）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13"/>
                <w:szCs w:val="13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案例分析 （40分）</w:t>
            </w:r>
          </w:p>
        </w:tc>
        <w:tc>
          <w:tcPr>
            <w:tcW w:w="467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案例问题解决方案的合理性与可行性（10分）</w:t>
            </w:r>
          </w:p>
        </w:tc>
        <w:tc>
          <w:tcPr>
            <w:tcW w:w="220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67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案例问题解决方案的创新性（10分）</w:t>
            </w:r>
          </w:p>
        </w:tc>
        <w:tc>
          <w:tcPr>
            <w:tcW w:w="220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67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案例问题解决方案的有效性（10分）</w:t>
            </w:r>
          </w:p>
        </w:tc>
        <w:tc>
          <w:tcPr>
            <w:tcW w:w="220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67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案例信息与数据分析的准确性与充足性（5分）</w:t>
            </w:r>
          </w:p>
        </w:tc>
        <w:tc>
          <w:tcPr>
            <w:tcW w:w="220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678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  <w:r>
              <w:rPr>
                <w:rFonts w:ascii="微软雅黑" w:hAnsi="微软雅黑" w:eastAsia="微软雅黑"/>
                <w:szCs w:val="21"/>
              </w:rPr>
              <w:t>管理理论与方法的应用(5分)</w:t>
            </w:r>
          </w:p>
        </w:tc>
        <w:tc>
          <w:tcPr>
            <w:tcW w:w="220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评委签名</w:t>
            </w:r>
          </w:p>
        </w:tc>
        <w:tc>
          <w:tcPr>
            <w:tcW w:w="4678" w:type="dxa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总分</w:t>
            </w:r>
          </w:p>
        </w:tc>
        <w:tc>
          <w:tcPr>
            <w:tcW w:w="2205" w:type="dxa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Cs w:val="21"/>
              </w:rPr>
            </w:pPr>
          </w:p>
        </w:tc>
      </w:tr>
    </w:tbl>
    <w:p>
      <w:pPr>
        <w:adjustRightInd w:val="0"/>
        <w:snapToGrid w:val="0"/>
        <w:rPr>
          <w:rFonts w:hint="eastAsia" w:ascii="微软雅黑" w:hAnsi="微软雅黑" w:eastAsia="微软雅黑"/>
          <w:sz w:val="24"/>
          <w:szCs w:val="24"/>
        </w:rPr>
      </w:pPr>
    </w:p>
    <w:p>
      <w:pPr>
        <w:adjustRightInd w:val="0"/>
        <w:snapToGrid w:val="0"/>
        <w:rPr>
          <w:rFonts w:ascii="微软雅黑" w:hAnsi="微软雅黑" w:eastAsia="PMingLiU"/>
          <w:szCs w:val="21"/>
        </w:rPr>
      </w:pPr>
      <w:r>
        <w:rPr>
          <w:rFonts w:ascii="微软雅黑" w:hAnsi="微软雅黑" w:eastAsia="微软雅黑"/>
          <w:szCs w:val="21"/>
        </w:rPr>
        <w:t>表2</w:t>
      </w:r>
      <w:r>
        <w:rPr>
          <w:rFonts w:hint="eastAsia" w:ascii="微软雅黑" w:hAnsi="微软雅黑" w:eastAsia="微软雅黑"/>
          <w:szCs w:val="21"/>
        </w:rPr>
        <w:t>：</w:t>
      </w:r>
      <w:r>
        <w:rPr>
          <w:rFonts w:hint="eastAsia" w:ascii="微软雅黑" w:hAnsi="微软雅黑" w:eastAsia="微软雅黑" w:cs="Calibri"/>
          <w:szCs w:val="21"/>
          <w:lang w:val="zh-TW" w:eastAsia="zh-TW"/>
        </w:rPr>
        <w:t>管理案例精英赛（</w:t>
      </w:r>
      <w:r>
        <w:rPr>
          <w:rFonts w:hint="eastAsia" w:ascii="微软雅黑" w:hAnsi="微软雅黑" w:eastAsia="微软雅黑" w:cs="Calibri"/>
          <w:szCs w:val="21"/>
        </w:rPr>
        <w:t>2019</w:t>
      </w:r>
      <w:r>
        <w:rPr>
          <w:rFonts w:hint="eastAsia" w:ascii="微软雅黑" w:hAnsi="微软雅黑" w:eastAsia="微软雅黑" w:cs="Calibri"/>
          <w:szCs w:val="21"/>
          <w:lang w:val="zh-TW" w:eastAsia="zh-TW"/>
        </w:rPr>
        <w:t>）</w:t>
      </w:r>
      <w:r>
        <w:rPr>
          <w:rFonts w:hint="eastAsia" w:ascii="微软雅黑" w:hAnsi="微软雅黑" w:eastAsia="微软雅黑" w:cs="宋体"/>
          <w:szCs w:val="21"/>
          <w:lang w:val="zh-TW"/>
        </w:rPr>
        <w:t>校园突围赛</w:t>
      </w:r>
      <w:r>
        <w:rPr>
          <w:rFonts w:hint="eastAsia" w:ascii="微软雅黑" w:hAnsi="微软雅黑" w:eastAsia="微软雅黑" w:cs="Calibri"/>
          <w:szCs w:val="21"/>
          <w:lang w:val="zh-TW" w:eastAsia="zh-TW"/>
        </w:rPr>
        <w:t>现场阶段评分表（</w:t>
      </w:r>
      <w:r>
        <w:rPr>
          <w:rFonts w:hint="eastAsia" w:ascii="微软雅黑" w:hAnsi="微软雅黑" w:eastAsia="微软雅黑" w:cs="Calibri"/>
          <w:szCs w:val="21"/>
        </w:rPr>
        <w:t>60</w:t>
      </w:r>
      <w:r>
        <w:rPr>
          <w:rFonts w:hint="eastAsia" w:ascii="微软雅黑" w:hAnsi="微软雅黑" w:eastAsia="微软雅黑" w:cs="Calibri"/>
          <w:szCs w:val="21"/>
          <w:lang w:val="zh-TW" w:eastAsia="zh-TW"/>
        </w:rPr>
        <w:t>分）</w:t>
      </w:r>
    </w:p>
    <w:tbl>
      <w:tblPr>
        <w:tblStyle w:val="9"/>
        <w:tblW w:w="8364" w:type="dxa"/>
        <w:tblInd w:w="-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2714"/>
        <w:gridCol w:w="1964"/>
        <w:gridCol w:w="226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评分项目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参考评分标准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PMingLiU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得分（精确到小数点后一位）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PMingLiU" w:cs="Calibri"/>
                <w:kern w:val="0"/>
                <w:sz w:val="20"/>
                <w:szCs w:val="21"/>
                <w:lang w:val="zh-TW" w:eastAsia="zh-TW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案例分析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（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eastAsia="en-US"/>
              </w:rPr>
              <w:t>40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分）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案例问题识别与分析的逻辑性与严谨性（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</w:rPr>
              <w:t>10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分）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案例问题解决方案的创新性与有效性（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</w:rPr>
              <w:t>10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分）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案例信息与数据分析的准确性与充足性（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</w:rPr>
              <w:t>10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分）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现场提问及回答的专业性与应变能力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</w:rPr>
              <w:t>(10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分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</w:rPr>
              <w:t>)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Calibri"/>
                <w:kern w:val="0"/>
                <w:sz w:val="2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现场表现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（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eastAsia="en-US"/>
              </w:rPr>
              <w:t>20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分）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语言表达的流畅性（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</w:rPr>
              <w:t>5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分）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方案陈述的时间控制（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</w:rPr>
              <w:t>5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分）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团队精神风貌（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eastAsia="en-US"/>
              </w:rPr>
              <w:t>5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分）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团队分工与合作（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</w:rPr>
              <w:t>5</w:t>
            </w: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分）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评委签名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  <w:lang w:eastAsia="en-US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Calibri"/>
                <w:kern w:val="0"/>
                <w:sz w:val="20"/>
                <w:szCs w:val="21"/>
                <w:lang w:val="zh-TW" w:eastAsia="zh-TW"/>
              </w:rPr>
              <w:t>总分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1"/>
                <w:lang w:eastAsia="en-US"/>
              </w:rPr>
            </w:pPr>
          </w:p>
        </w:tc>
      </w:tr>
    </w:tbl>
    <w:p>
      <w:pPr>
        <w:adjustRightInd w:val="0"/>
        <w:snapToGrid w:val="0"/>
        <w:rPr>
          <w:rFonts w:hint="eastAsia" w:ascii="微软雅黑" w:hAnsi="微软雅黑" w:eastAsia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BD"/>
    <w:rsid w:val="00097752"/>
    <w:rsid w:val="0016158E"/>
    <w:rsid w:val="003F4C51"/>
    <w:rsid w:val="004B74B4"/>
    <w:rsid w:val="0050077A"/>
    <w:rsid w:val="0056250E"/>
    <w:rsid w:val="00683CE7"/>
    <w:rsid w:val="008570F5"/>
    <w:rsid w:val="00956816"/>
    <w:rsid w:val="009C3405"/>
    <w:rsid w:val="00AC0B2B"/>
    <w:rsid w:val="00B10BBD"/>
    <w:rsid w:val="00EE4E3C"/>
    <w:rsid w:val="4FC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218</Words>
  <Characters>1248</Characters>
  <Lines>10</Lines>
  <Paragraphs>2</Paragraphs>
  <TotalTime>49</TotalTime>
  <ScaleCrop>false</ScaleCrop>
  <LinksUpToDate>false</LinksUpToDate>
  <CharactersWithSpaces>1464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2019-03-02T11:39:00Z</dcterms:created>
  <dc:creator>dell</dc:creator>
  <cp:lastModifiedBy>4049</cp:lastModifiedBy>
  <dcterms:modified xsi:type="dcterms:W3CDTF">2019-04-26T05:23:29Z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